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523"/>
        <w:gridCol w:w="2131"/>
      </w:tblGrid>
      <w:tr w:rsidR="00A23F48" w:rsidRPr="007145E1" w14:paraId="30920A1D" w14:textId="77777777" w:rsidTr="007145E1">
        <w:trPr>
          <w:trHeight w:val="3940"/>
        </w:trPr>
        <w:tc>
          <w:tcPr>
            <w:tcW w:w="2684" w:type="dxa"/>
            <w:shd w:val="clear" w:color="auto" w:fill="FFEFFF"/>
          </w:tcPr>
          <w:p w14:paraId="272EA4DF" w14:textId="2ED9DB65" w:rsidR="008E39B4" w:rsidRPr="00EB463A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00EB463A">
              <w:rPr>
                <w:b/>
                <w:bCs/>
                <w:sz w:val="24"/>
                <w:szCs w:val="24"/>
                <w:u w:val="single"/>
              </w:rPr>
              <w:t>What will we be learning?</w:t>
            </w:r>
          </w:p>
          <w:p w14:paraId="33C0EB9B" w14:textId="311F2D52" w:rsidR="00B746BC" w:rsidRPr="007145E1" w:rsidRDefault="004B4D9A" w:rsidP="13CAA33F">
            <w:pPr>
              <w:rPr>
                <w:b/>
                <w:bCs/>
              </w:rPr>
            </w:pPr>
            <w:r w:rsidRPr="007145E1">
              <w:rPr>
                <w:b/>
                <w:bCs/>
              </w:rPr>
              <w:t>Cross Media Production</w:t>
            </w:r>
            <w:r w:rsidR="00465EC2" w:rsidRPr="007145E1">
              <w:rPr>
                <w:b/>
                <w:bCs/>
              </w:rPr>
              <w:t xml:space="preserve"> (Non-Examination Assessment)</w:t>
            </w:r>
          </w:p>
          <w:p w14:paraId="757809B9" w14:textId="3D8E14B8" w:rsidR="00740558" w:rsidRPr="007145E1" w:rsidRDefault="00B746BC" w:rsidP="004B4D9A">
            <w:pPr>
              <w:rPr>
                <w:b/>
                <w:bCs/>
              </w:rPr>
            </w:pPr>
            <w:r w:rsidRPr="007145E1">
              <w:t>You will create a</w:t>
            </w:r>
            <w:r w:rsidRPr="007145E1">
              <w:t xml:space="preserve">n individual cross-media production based on two forms in response to a choice of briefs set by </w:t>
            </w:r>
            <w:r w:rsidR="00465EC2" w:rsidRPr="007145E1">
              <w:t>the exam board</w:t>
            </w:r>
            <w:r w:rsidR="007145E1" w:rsidRPr="007145E1">
              <w:t>.</w:t>
            </w:r>
          </w:p>
        </w:tc>
        <w:tc>
          <w:tcPr>
            <w:tcW w:w="5523" w:type="dxa"/>
            <w:shd w:val="clear" w:color="auto" w:fill="FFEFFF"/>
          </w:tcPr>
          <w:p w14:paraId="191A053B" w14:textId="77777777" w:rsidR="008E39B4" w:rsidRPr="00EB463A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00EB463A">
              <w:rPr>
                <w:b/>
                <w:bCs/>
                <w:sz w:val="24"/>
                <w:szCs w:val="24"/>
                <w:u w:val="single"/>
              </w:rPr>
              <w:t>Why this? Why now?</w:t>
            </w:r>
          </w:p>
          <w:p w14:paraId="7202C5D7" w14:textId="0EBDA2F9" w:rsidR="00266EEA" w:rsidRPr="007145E1" w:rsidRDefault="00266EEA" w:rsidP="00266EEA">
            <w:r w:rsidRPr="007145E1">
              <w:t>This unit</w:t>
            </w:r>
            <w:r w:rsidR="00B746BC" w:rsidRPr="007145E1">
              <w:t xml:space="preserve"> allows you to put into practice the knowledge and understanding </w:t>
            </w:r>
            <w:r w:rsidR="006F3864" w:rsidRPr="007145E1">
              <w:t>develop</w:t>
            </w:r>
            <w:r w:rsidR="00B746BC" w:rsidRPr="007145E1">
              <w:t xml:space="preserve">ed earlier in the course when analysing media products by transferring these skills to creating your own media products. </w:t>
            </w:r>
          </w:p>
          <w:p w14:paraId="1C21F2EA" w14:textId="48070B60" w:rsidR="007145E1" w:rsidRPr="007145E1" w:rsidRDefault="007145E1" w:rsidP="00266EEA">
            <w:r w:rsidRPr="007145E1">
              <w:t>You will a</w:t>
            </w:r>
            <w:r w:rsidRPr="007145E1">
              <w:t>pply knowledge and understanding of the theoretical framework and digital convergence</w:t>
            </w:r>
            <w:r w:rsidRPr="007145E1">
              <w:t xml:space="preserve"> in your own media products, which you are now well-equipped to do</w:t>
            </w:r>
            <w:r w:rsidRPr="007145E1">
              <w:t>.</w:t>
            </w:r>
          </w:p>
          <w:p w14:paraId="54D78D59" w14:textId="77777777" w:rsidR="00266EEA" w:rsidRPr="007145E1" w:rsidRDefault="00266EEA" w:rsidP="00266EEA">
            <w:pPr>
              <w:rPr>
                <w:b/>
                <w:bCs/>
                <w:color w:val="000000" w:themeColor="text1"/>
              </w:rPr>
            </w:pPr>
            <w:r w:rsidRPr="007145E1">
              <w:rPr>
                <w:b/>
                <w:bCs/>
              </w:rPr>
              <w:t xml:space="preserve">This is a compulsory A level Media Studies component. </w:t>
            </w:r>
          </w:p>
          <w:p w14:paraId="4C75361B" w14:textId="1B0F817C" w:rsidR="00740558" w:rsidRPr="007145E1" w:rsidRDefault="00266EEA" w:rsidP="00266EEA">
            <w:pPr>
              <w:rPr>
                <w:color w:val="000000" w:themeColor="text1"/>
              </w:rPr>
            </w:pPr>
            <w:r w:rsidRPr="007145E1">
              <w:rPr>
                <w:b/>
                <w:bCs/>
              </w:rPr>
              <w:t>You</w:t>
            </w:r>
            <w:r w:rsidR="004B4D9A" w:rsidRPr="007145E1">
              <w:rPr>
                <w:b/>
                <w:bCs/>
              </w:rPr>
              <w:t xml:space="preserve"> will submit your final cross-media production which will count as 30% towards your final grade.</w:t>
            </w:r>
          </w:p>
        </w:tc>
        <w:tc>
          <w:tcPr>
            <w:tcW w:w="2131" w:type="dxa"/>
            <w:vMerge w:val="restart"/>
            <w:shd w:val="clear" w:color="auto" w:fill="FFEFFF"/>
          </w:tcPr>
          <w:p w14:paraId="47A991E2" w14:textId="7376B834" w:rsidR="008E39B4" w:rsidRPr="00EB463A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00EB463A">
              <w:rPr>
                <w:b/>
                <w:bCs/>
                <w:sz w:val="24"/>
                <w:szCs w:val="24"/>
                <w:u w:val="single"/>
              </w:rPr>
              <w:t>Key Words</w:t>
            </w:r>
            <w:r w:rsidR="00811F13" w:rsidRPr="00EB463A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3CAB8220" w14:textId="77777777" w:rsidR="00B746BC" w:rsidRPr="007145E1" w:rsidRDefault="00B746BC" w:rsidP="13CAA33F">
            <w:r w:rsidRPr="007145E1">
              <w:t>Target audience</w:t>
            </w:r>
          </w:p>
          <w:p w14:paraId="09A1C25A" w14:textId="25637A19" w:rsidR="008F28F4" w:rsidRPr="007145E1" w:rsidRDefault="008F28F4" w:rsidP="13CAA33F">
            <w:r w:rsidRPr="007145E1">
              <w:t>Mode of address</w:t>
            </w:r>
          </w:p>
          <w:p w14:paraId="474A6018" w14:textId="300C88AD" w:rsidR="008F28F4" w:rsidRPr="007145E1" w:rsidRDefault="008F28F4" w:rsidP="13CAA33F">
            <w:r w:rsidRPr="007145E1">
              <w:t>Mass audience</w:t>
            </w:r>
          </w:p>
          <w:p w14:paraId="29A9A117" w14:textId="51549681" w:rsidR="008F28F4" w:rsidRPr="007145E1" w:rsidRDefault="008F28F4" w:rsidP="008F28F4">
            <w:r w:rsidRPr="007145E1">
              <w:t>Specialised / niche</w:t>
            </w:r>
          </w:p>
          <w:p w14:paraId="351EBED6" w14:textId="0E4E7712" w:rsidR="00AD744A" w:rsidRPr="007145E1" w:rsidRDefault="00AD744A" w:rsidP="008F28F4">
            <w:r w:rsidRPr="007145E1">
              <w:t xml:space="preserve">Preferred reading </w:t>
            </w:r>
          </w:p>
          <w:p w14:paraId="733AB851" w14:textId="0BF606F5" w:rsidR="00465EC2" w:rsidRPr="007145E1" w:rsidRDefault="00465EC2" w:rsidP="008F28F4">
            <w:r w:rsidRPr="007145E1">
              <w:t>Industry context</w:t>
            </w:r>
          </w:p>
          <w:p w14:paraId="0D0FD013" w14:textId="71AD371C" w:rsidR="00C10295" w:rsidRPr="007145E1" w:rsidRDefault="00B746BC" w:rsidP="13CAA33F">
            <w:pPr>
              <w:rPr>
                <w:color w:val="000000" w:themeColor="text1"/>
              </w:rPr>
            </w:pPr>
            <w:r w:rsidRPr="007145E1">
              <w:rPr>
                <w:color w:val="000000" w:themeColor="text1"/>
              </w:rPr>
              <w:t>Digital c</w:t>
            </w:r>
            <w:r w:rsidR="008F28F4" w:rsidRPr="007145E1">
              <w:rPr>
                <w:color w:val="000000" w:themeColor="text1"/>
              </w:rPr>
              <w:t>onvergence</w:t>
            </w:r>
          </w:p>
          <w:p w14:paraId="6774CCF6" w14:textId="31F247E9" w:rsidR="008F28F4" w:rsidRPr="007145E1" w:rsidRDefault="008F28F4" w:rsidP="13CAA33F">
            <w:pPr>
              <w:rPr>
                <w:color w:val="000000" w:themeColor="text1"/>
              </w:rPr>
            </w:pPr>
            <w:r w:rsidRPr="007145E1">
              <w:rPr>
                <w:color w:val="000000" w:themeColor="text1"/>
              </w:rPr>
              <w:t>Synergy</w:t>
            </w:r>
          </w:p>
          <w:p w14:paraId="3060B41B" w14:textId="141A66C1" w:rsidR="008F28F4" w:rsidRPr="007145E1" w:rsidRDefault="008F28F4" w:rsidP="13CAA33F">
            <w:pPr>
              <w:rPr>
                <w:color w:val="000000" w:themeColor="text1"/>
              </w:rPr>
            </w:pPr>
            <w:r w:rsidRPr="007145E1">
              <w:rPr>
                <w:color w:val="000000" w:themeColor="text1"/>
              </w:rPr>
              <w:t>Independent</w:t>
            </w:r>
          </w:p>
          <w:p w14:paraId="53E4A3EC" w14:textId="205647BE" w:rsidR="00465EC2" w:rsidRPr="007145E1" w:rsidRDefault="00465EC2" w:rsidP="13CAA33F">
            <w:pPr>
              <w:rPr>
                <w:color w:val="000000" w:themeColor="text1"/>
              </w:rPr>
            </w:pPr>
            <w:r w:rsidRPr="007145E1">
              <w:rPr>
                <w:color w:val="000000" w:themeColor="text1"/>
              </w:rPr>
              <w:t>Commercial</w:t>
            </w:r>
          </w:p>
          <w:p w14:paraId="76E57C55" w14:textId="744FC647" w:rsidR="008F28F4" w:rsidRPr="007145E1" w:rsidRDefault="008F28F4" w:rsidP="13CAA33F">
            <w:pPr>
              <w:rPr>
                <w:color w:val="000000" w:themeColor="text1"/>
              </w:rPr>
            </w:pPr>
            <w:r w:rsidRPr="007145E1">
              <w:rPr>
                <w:color w:val="000000" w:themeColor="text1"/>
              </w:rPr>
              <w:t>Media conglomerate</w:t>
            </w:r>
          </w:p>
          <w:p w14:paraId="337690A6" w14:textId="6B41CB8A" w:rsidR="008F28F4" w:rsidRPr="007145E1" w:rsidRDefault="008F28F4" w:rsidP="13CAA33F">
            <w:pPr>
              <w:rPr>
                <w:color w:val="000000" w:themeColor="text1"/>
              </w:rPr>
            </w:pPr>
            <w:r w:rsidRPr="007145E1">
              <w:rPr>
                <w:color w:val="000000" w:themeColor="text1"/>
              </w:rPr>
              <w:t>Public service broadcaster</w:t>
            </w:r>
          </w:p>
          <w:p w14:paraId="32A62BFB" w14:textId="5FECA6CC" w:rsidR="008F28F4" w:rsidRDefault="008F28F4" w:rsidP="13CAA33F">
            <w:pPr>
              <w:rPr>
                <w:color w:val="000000" w:themeColor="text1"/>
              </w:rPr>
            </w:pPr>
            <w:r w:rsidRPr="007145E1">
              <w:rPr>
                <w:color w:val="000000" w:themeColor="text1"/>
              </w:rPr>
              <w:t>Cross-platform marketing</w:t>
            </w:r>
          </w:p>
          <w:p w14:paraId="14C7DB98" w14:textId="77777777" w:rsidR="002355DE" w:rsidRPr="007145E1" w:rsidRDefault="002355DE" w:rsidP="13CAA33F">
            <w:pPr>
              <w:rPr>
                <w:color w:val="000000" w:themeColor="text1"/>
              </w:rPr>
            </w:pPr>
          </w:p>
          <w:p w14:paraId="49147324" w14:textId="642D6B12" w:rsidR="00AD744A" w:rsidRPr="007145E1" w:rsidRDefault="00AD744A" w:rsidP="00F3214D">
            <w:pPr>
              <w:rPr>
                <w:color w:val="000000" w:themeColor="text1"/>
              </w:rPr>
            </w:pPr>
          </w:p>
        </w:tc>
      </w:tr>
      <w:tr w:rsidR="008E39B4" w:rsidRPr="007145E1" w14:paraId="70713B32" w14:textId="77777777" w:rsidTr="00EB463A">
        <w:trPr>
          <w:trHeight w:val="4308"/>
        </w:trPr>
        <w:tc>
          <w:tcPr>
            <w:tcW w:w="8207" w:type="dxa"/>
            <w:gridSpan w:val="2"/>
            <w:shd w:val="clear" w:color="auto" w:fill="FFEFFF"/>
          </w:tcPr>
          <w:p w14:paraId="7CDF61FB" w14:textId="67BA5A7D" w:rsidR="008E39B4" w:rsidRPr="00EB463A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00EB463A">
              <w:rPr>
                <w:b/>
                <w:bCs/>
                <w:sz w:val="24"/>
                <w:szCs w:val="24"/>
                <w:u w:val="single"/>
              </w:rPr>
              <w:t>What will we learn?</w:t>
            </w:r>
          </w:p>
          <w:p w14:paraId="70DF3B65" w14:textId="147925CC" w:rsidR="00465EC2" w:rsidRPr="007145E1" w:rsidRDefault="00465EC2" w:rsidP="00B746BC">
            <w:r w:rsidRPr="007145E1">
              <w:t xml:space="preserve">To research existing media products, target audience and industry context based on your chosen brief </w:t>
            </w:r>
          </w:p>
          <w:p w14:paraId="5C152BA0" w14:textId="03AF63EF" w:rsidR="00465EC2" w:rsidRPr="007145E1" w:rsidRDefault="00465EC2" w:rsidP="00B746BC">
            <w:r w:rsidRPr="007145E1">
              <w:t>T</w:t>
            </w:r>
            <w:r w:rsidRPr="007145E1">
              <w:t>o complete a</w:t>
            </w:r>
            <w:r w:rsidRPr="007145E1">
              <w:t>n</w:t>
            </w:r>
            <w:r w:rsidRPr="007145E1">
              <w:t xml:space="preserve"> outline of </w:t>
            </w:r>
            <w:r w:rsidRPr="007145E1">
              <w:t xml:space="preserve">your </w:t>
            </w:r>
            <w:r w:rsidRPr="007145E1">
              <w:t>aims and intentions for the cross-media production that must be submitted with the production</w:t>
            </w:r>
          </w:p>
          <w:p w14:paraId="6291E9E5" w14:textId="7CC9AFC5" w:rsidR="00465EC2" w:rsidRDefault="00465EC2" w:rsidP="00465EC2">
            <w:r w:rsidRPr="007145E1">
              <w:t>To apply your knowledge and understanding of media language, representation, audiences</w:t>
            </w:r>
            <w:r w:rsidR="000F0033">
              <w:t xml:space="preserve"> and</w:t>
            </w:r>
            <w:r w:rsidRPr="007145E1">
              <w:t xml:space="preserve"> media industries </w:t>
            </w:r>
            <w:r w:rsidR="000F0033">
              <w:t>to</w:t>
            </w:r>
            <w:r w:rsidRPr="007145E1">
              <w:t xml:space="preserve"> a</w:t>
            </w:r>
            <w:r w:rsidR="000F0033">
              <w:t xml:space="preserve"> cross-media pro</w:t>
            </w:r>
            <w:r w:rsidRPr="007145E1">
              <w:t>duction for an intended audience</w:t>
            </w:r>
          </w:p>
          <w:p w14:paraId="6C9761A6" w14:textId="77777777" w:rsidR="000F0033" w:rsidRDefault="000F0033" w:rsidP="000F0033">
            <w:r>
              <w:t xml:space="preserve">To apply knowledge and understanding of the digitally convergent nature of contemporary media </w:t>
            </w:r>
          </w:p>
          <w:p w14:paraId="0689FD37" w14:textId="77777777" w:rsidR="000F0033" w:rsidRDefault="000F0033" w:rsidP="000F0033">
            <w:r>
              <w:t>To use media language across media forms to express and communicate meaning to an intended audience</w:t>
            </w:r>
          </w:p>
          <w:p w14:paraId="06E12BAD" w14:textId="6601DF45" w:rsidR="00B746BC" w:rsidRPr="007145E1" w:rsidRDefault="00B746BC" w:rsidP="00B746BC">
            <w:r w:rsidRPr="007145E1">
              <w:t xml:space="preserve">To appreciate how theoretical understanding supports practice and practice supports theoretical understanding </w:t>
            </w:r>
          </w:p>
          <w:p w14:paraId="704CD9BE" w14:textId="17BD1795" w:rsidR="00EB463A" w:rsidRPr="00EB463A" w:rsidRDefault="00B746BC" w:rsidP="00EB463A">
            <w:r w:rsidRPr="007145E1">
              <w:t>To demonstrate sophisticated practical skills in creative media productio</w:t>
            </w:r>
            <w:r w:rsidR="00465EC2" w:rsidRPr="007145E1">
              <w:t>n</w:t>
            </w:r>
          </w:p>
        </w:tc>
        <w:tc>
          <w:tcPr>
            <w:tcW w:w="2131" w:type="dxa"/>
            <w:vMerge/>
          </w:tcPr>
          <w:p w14:paraId="4F4A4CCD" w14:textId="77777777" w:rsidR="008E39B4" w:rsidRPr="007145E1" w:rsidRDefault="008E39B4" w:rsidP="00FE54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7145E1" w14:paraId="41DD1A54" w14:textId="77777777" w:rsidTr="00B955C7">
        <w:trPr>
          <w:trHeight w:val="2115"/>
        </w:trPr>
        <w:tc>
          <w:tcPr>
            <w:tcW w:w="8207" w:type="dxa"/>
            <w:gridSpan w:val="2"/>
            <w:shd w:val="clear" w:color="auto" w:fill="FFEFFF"/>
          </w:tcPr>
          <w:p w14:paraId="451AC3B1" w14:textId="59A96156" w:rsidR="00473982" w:rsidRPr="007145E1" w:rsidRDefault="008E39B4" w:rsidP="00AD744A">
            <w:pPr>
              <w:rPr>
                <w:b/>
                <w:bCs/>
                <w:u w:val="single"/>
              </w:rPr>
            </w:pPr>
            <w:r w:rsidRPr="00EB463A">
              <w:rPr>
                <w:b/>
                <w:bCs/>
                <w:sz w:val="24"/>
                <w:szCs w:val="24"/>
                <w:u w:val="single"/>
              </w:rPr>
              <w:t>What opportunities are there for wider study?</w:t>
            </w:r>
          </w:p>
          <w:p w14:paraId="74ADA89A" w14:textId="2885EA18" w:rsidR="00E24E16" w:rsidRPr="007145E1" w:rsidRDefault="00E24E16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proofErr w:type="spellStart"/>
            <w:r w:rsidRPr="007145E1">
              <w:t>Eduqas</w:t>
            </w:r>
            <w:proofErr w:type="spellEnd"/>
            <w:r w:rsidRPr="007145E1">
              <w:t xml:space="preserve"> Digital Resources </w:t>
            </w:r>
            <w:r w:rsidR="00AD744A" w:rsidRPr="007145E1">
              <w:t xml:space="preserve">(on </w:t>
            </w:r>
            <w:proofErr w:type="spellStart"/>
            <w:r w:rsidR="00AD744A" w:rsidRPr="007145E1">
              <w:t>Eduqas</w:t>
            </w:r>
            <w:proofErr w:type="spellEnd"/>
            <w:r w:rsidR="00AD744A" w:rsidRPr="007145E1">
              <w:t xml:space="preserve"> </w:t>
            </w:r>
            <w:proofErr w:type="gramStart"/>
            <w:r w:rsidR="00AD744A" w:rsidRPr="007145E1">
              <w:t>A</w:t>
            </w:r>
            <w:proofErr w:type="gramEnd"/>
            <w:r w:rsidR="00AD744A" w:rsidRPr="007145E1">
              <w:t xml:space="preserve"> Level Media Studies page)</w:t>
            </w:r>
          </w:p>
          <w:p w14:paraId="4D5A5FA8" w14:textId="4EEB1C69" w:rsidR="13CAA33F" w:rsidRPr="007145E1" w:rsidRDefault="005E392D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proofErr w:type="spellStart"/>
            <w:r w:rsidRPr="007145E1">
              <w:t>MediaMagazine</w:t>
            </w:r>
            <w:proofErr w:type="spellEnd"/>
            <w:r w:rsidRPr="007145E1">
              <w:t xml:space="preserve"> Online (Username:</w:t>
            </w:r>
            <w:r w:rsidR="00E24E16" w:rsidRPr="007145E1">
              <w:t xml:space="preserve"> HighcliffeSchool1 Password: Highcliffe1)</w:t>
            </w:r>
            <w:r w:rsidRPr="007145E1">
              <w:t xml:space="preserve"> </w:t>
            </w:r>
          </w:p>
          <w:p w14:paraId="2CADD5EA" w14:textId="5332243F" w:rsidR="009D5DEE" w:rsidRPr="007145E1" w:rsidRDefault="009D5DEE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7145E1">
              <w:rPr>
                <w:color w:val="000000" w:themeColor="text1"/>
              </w:rPr>
              <w:t>Curriculum Press factsheets</w:t>
            </w:r>
          </w:p>
          <w:p w14:paraId="56721B0A" w14:textId="5207FBA7" w:rsidR="00E24E16" w:rsidRPr="007145E1" w:rsidRDefault="00E24E16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7145E1">
              <w:rPr>
                <w:color w:val="000000" w:themeColor="text1"/>
              </w:rPr>
              <w:t>The Media Show, BBC Radio 4</w:t>
            </w:r>
          </w:p>
          <w:p w14:paraId="001E2D6F" w14:textId="5893D928" w:rsidR="00740723" w:rsidRPr="007145E1" w:rsidRDefault="00465EC2" w:rsidP="00AD744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7145E1">
              <w:rPr>
                <w:color w:val="000000" w:themeColor="text1"/>
              </w:rPr>
              <w:t>Existing m</w:t>
            </w:r>
            <w:r w:rsidR="00AD744A" w:rsidRPr="007145E1">
              <w:rPr>
                <w:color w:val="000000" w:themeColor="text1"/>
              </w:rPr>
              <w:t>edia products</w:t>
            </w:r>
          </w:p>
        </w:tc>
        <w:tc>
          <w:tcPr>
            <w:tcW w:w="2131" w:type="dxa"/>
            <w:vMerge/>
          </w:tcPr>
          <w:p w14:paraId="20C1B22D" w14:textId="77777777" w:rsidR="008E39B4" w:rsidRPr="007145E1" w:rsidRDefault="008E39B4" w:rsidP="00FE54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7145E1" w14:paraId="08B85AF4" w14:textId="77777777" w:rsidTr="005E65D3">
        <w:trPr>
          <w:trHeight w:val="1371"/>
        </w:trPr>
        <w:tc>
          <w:tcPr>
            <w:tcW w:w="8207" w:type="dxa"/>
            <w:gridSpan w:val="2"/>
            <w:shd w:val="clear" w:color="auto" w:fill="FFEFFF"/>
          </w:tcPr>
          <w:p w14:paraId="6C19F758" w14:textId="550CE687" w:rsidR="00996496" w:rsidRPr="00EB463A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00EB463A">
              <w:rPr>
                <w:b/>
                <w:bCs/>
                <w:sz w:val="24"/>
                <w:szCs w:val="24"/>
                <w:u w:val="single"/>
              </w:rPr>
              <w:t>How will I be assessed?</w:t>
            </w:r>
          </w:p>
          <w:p w14:paraId="72B5E301" w14:textId="77777777" w:rsidR="007145E1" w:rsidRPr="007145E1" w:rsidRDefault="00465EC2" w:rsidP="005E65D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7145E1">
              <w:t xml:space="preserve">You will submit your aims and intentions as well as two final </w:t>
            </w:r>
            <w:r w:rsidR="005E65D3" w:rsidRPr="007145E1">
              <w:t xml:space="preserve">media </w:t>
            </w:r>
            <w:r w:rsidRPr="007145E1">
              <w:t xml:space="preserve">products. </w:t>
            </w:r>
          </w:p>
          <w:p w14:paraId="7C953E82" w14:textId="514C2F0D" w:rsidR="00811F13" w:rsidRPr="007145E1" w:rsidRDefault="00465EC2" w:rsidP="005E65D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7145E1">
              <w:t>Interim deadlines will be set</w:t>
            </w:r>
            <w:r w:rsidR="005E65D3" w:rsidRPr="007145E1">
              <w:t xml:space="preserve"> to help you keep on track with your work. </w:t>
            </w:r>
          </w:p>
        </w:tc>
        <w:tc>
          <w:tcPr>
            <w:tcW w:w="2131" w:type="dxa"/>
            <w:vMerge/>
          </w:tcPr>
          <w:p w14:paraId="048BF811" w14:textId="77777777" w:rsidR="008E39B4" w:rsidRPr="007145E1" w:rsidRDefault="008E39B4" w:rsidP="00FE54CF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5EDA65FE" w14:textId="37342BE0" w:rsidR="00D9FFC5" w:rsidRPr="007145E1" w:rsidRDefault="00D9FFC5" w:rsidP="13CAA33F">
      <w:pPr>
        <w:rPr>
          <w:highlight w:val="green"/>
        </w:rPr>
      </w:pPr>
    </w:p>
    <w:sectPr w:rsidR="00D9FFC5" w:rsidRPr="007145E1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3A567" w14:textId="77777777" w:rsidR="0057672B" w:rsidRDefault="0057672B" w:rsidP="00017B74">
      <w:pPr>
        <w:spacing w:after="0" w:line="240" w:lineRule="auto"/>
      </w:pPr>
      <w:r>
        <w:separator/>
      </w:r>
    </w:p>
  </w:endnote>
  <w:endnote w:type="continuationSeparator" w:id="0">
    <w:p w14:paraId="1DDCA88E" w14:textId="77777777" w:rsidR="0057672B" w:rsidRDefault="0057672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B3AE" w14:textId="77777777" w:rsidR="0057672B" w:rsidRDefault="0057672B" w:rsidP="00017B74">
      <w:pPr>
        <w:spacing w:after="0" w:line="240" w:lineRule="auto"/>
      </w:pPr>
      <w:r>
        <w:separator/>
      </w:r>
    </w:p>
  </w:footnote>
  <w:footnote w:type="continuationSeparator" w:id="0">
    <w:p w14:paraId="1E32D42A" w14:textId="77777777" w:rsidR="0057672B" w:rsidRDefault="0057672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F5F83"/>
    <w:multiLevelType w:val="hybridMultilevel"/>
    <w:tmpl w:val="C7F81D74"/>
    <w:lvl w:ilvl="0" w:tplc="4F0AA4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0A7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89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62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AB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04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AA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C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6C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F0033"/>
    <w:rsid w:val="001246DA"/>
    <w:rsid w:val="002245BB"/>
    <w:rsid w:val="002355DE"/>
    <w:rsid w:val="00266EEA"/>
    <w:rsid w:val="002B0167"/>
    <w:rsid w:val="002C6394"/>
    <w:rsid w:val="002F78A7"/>
    <w:rsid w:val="00371207"/>
    <w:rsid w:val="003E6B6F"/>
    <w:rsid w:val="003E7BE3"/>
    <w:rsid w:val="00440E6C"/>
    <w:rsid w:val="00465EC2"/>
    <w:rsid w:val="00473982"/>
    <w:rsid w:val="00487E07"/>
    <w:rsid w:val="004B4D9A"/>
    <w:rsid w:val="00524628"/>
    <w:rsid w:val="0053232D"/>
    <w:rsid w:val="0057672B"/>
    <w:rsid w:val="005E392D"/>
    <w:rsid w:val="005E65D3"/>
    <w:rsid w:val="005F4E99"/>
    <w:rsid w:val="00606AA8"/>
    <w:rsid w:val="006F3864"/>
    <w:rsid w:val="007145E1"/>
    <w:rsid w:val="007146EF"/>
    <w:rsid w:val="00740558"/>
    <w:rsid w:val="00740723"/>
    <w:rsid w:val="007D0B5D"/>
    <w:rsid w:val="00811F13"/>
    <w:rsid w:val="0083335D"/>
    <w:rsid w:val="00847F4E"/>
    <w:rsid w:val="00867D25"/>
    <w:rsid w:val="008B1952"/>
    <w:rsid w:val="008E39B4"/>
    <w:rsid w:val="008F28F4"/>
    <w:rsid w:val="00996496"/>
    <w:rsid w:val="009D5DEE"/>
    <w:rsid w:val="00A23F48"/>
    <w:rsid w:val="00A314F1"/>
    <w:rsid w:val="00A56981"/>
    <w:rsid w:val="00AD744A"/>
    <w:rsid w:val="00B746BC"/>
    <w:rsid w:val="00B955C7"/>
    <w:rsid w:val="00BA646E"/>
    <w:rsid w:val="00BB3885"/>
    <w:rsid w:val="00C10295"/>
    <w:rsid w:val="00C42FD3"/>
    <w:rsid w:val="00CA59AB"/>
    <w:rsid w:val="00D33160"/>
    <w:rsid w:val="00D9FFC5"/>
    <w:rsid w:val="00DB0006"/>
    <w:rsid w:val="00DC23A5"/>
    <w:rsid w:val="00E24E16"/>
    <w:rsid w:val="00E5371A"/>
    <w:rsid w:val="00EB463A"/>
    <w:rsid w:val="00F3214D"/>
    <w:rsid w:val="00F43D58"/>
    <w:rsid w:val="00F9765D"/>
    <w:rsid w:val="00FB7D5A"/>
    <w:rsid w:val="00FE1C68"/>
    <w:rsid w:val="00FF4F1C"/>
    <w:rsid w:val="030AFF33"/>
    <w:rsid w:val="13CAA33F"/>
    <w:rsid w:val="14A1F3FB"/>
    <w:rsid w:val="163DC45C"/>
    <w:rsid w:val="2496B7DF"/>
    <w:rsid w:val="24C1DC51"/>
    <w:rsid w:val="24FEF7C8"/>
    <w:rsid w:val="2796DD49"/>
    <w:rsid w:val="28A97807"/>
    <w:rsid w:val="2C01F3DF"/>
    <w:rsid w:val="2D3CFB7C"/>
    <w:rsid w:val="369363DB"/>
    <w:rsid w:val="3B8C4A9C"/>
    <w:rsid w:val="43DF5265"/>
    <w:rsid w:val="4A313DA7"/>
    <w:rsid w:val="4C7D6B88"/>
    <w:rsid w:val="54ADC255"/>
    <w:rsid w:val="557C4060"/>
    <w:rsid w:val="571810C1"/>
    <w:rsid w:val="5F2322A6"/>
    <w:rsid w:val="621D4565"/>
    <w:rsid w:val="68037467"/>
    <w:rsid w:val="68B0DC8F"/>
    <w:rsid w:val="6DE4B3EA"/>
    <w:rsid w:val="71AFB167"/>
    <w:rsid w:val="7368757E"/>
    <w:rsid w:val="773BBD5E"/>
    <w:rsid w:val="77A578B1"/>
    <w:rsid w:val="79414912"/>
    <w:rsid w:val="7C068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Strong">
    <w:name w:val="Strong"/>
    <w:basedOn w:val="DefaultParagraphFont"/>
    <w:uiPriority w:val="22"/>
    <w:qFormat/>
    <w:rsid w:val="00E24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B65D92946044AC60781CDF78EEBD" ma:contentTypeVersion="14" ma:contentTypeDescription="Create a new document." ma:contentTypeScope="" ma:versionID="93b0f832d6d0b32eb64936c8ef3728b1">
  <xsd:schema xmlns:xsd="http://www.w3.org/2001/XMLSchema" xmlns:xs="http://www.w3.org/2001/XMLSchema" xmlns:p="http://schemas.microsoft.com/office/2006/metadata/properties" xmlns:ns3="15907209-fc58-4a74-ba24-276247b063a4" xmlns:ns4="b3af7d56-9b4c-4c42-8b1e-5ddd38c2b0df" targetNamespace="http://schemas.microsoft.com/office/2006/metadata/properties" ma:root="true" ma:fieldsID="ade33649e7883130f2fba3d15c12aa1b" ns3:_="" ns4:_="">
    <xsd:import namespace="15907209-fc58-4a74-ba24-276247b063a4"/>
    <xsd:import namespace="b3af7d56-9b4c-4c42-8b1e-5ddd38c2b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7209-fc58-4a74-ba24-276247b0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f7d56-9b4c-4c42-8b1e-5ddd38c2b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DFFAD-91C2-4765-980E-8E1271D3F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7209-fc58-4a74-ba24-276247b063a4"/>
    <ds:schemaRef ds:uri="b3af7d56-9b4c-4c42-8b1e-5ddd38c2b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RBowen</cp:lastModifiedBy>
  <cp:revision>8</cp:revision>
  <dcterms:created xsi:type="dcterms:W3CDTF">2022-06-06T10:49:00Z</dcterms:created>
  <dcterms:modified xsi:type="dcterms:W3CDTF">2022-06-06T11:17:00Z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0x0101008A7AB65D92946044AC60781CDF78EEBD</vt:lpwstr>
  </property>
</Properties>
</file>